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1" w:rsidRDefault="002029F1" w:rsidP="002029F1">
      <w:pPr>
        <w:widowControl w:val="0"/>
        <w:autoSpaceDN w:val="0"/>
        <w:textAlignment w:val="baseline"/>
        <w:rPr>
          <w:rFonts w:ascii="Arial" w:hAnsi="Arial" w:cs="Arial"/>
          <w:bCs/>
          <w:i/>
          <w:kern w:val="16"/>
          <w:sz w:val="22"/>
          <w:szCs w:val="22"/>
        </w:rPr>
      </w:pPr>
    </w:p>
    <w:p w:rsidR="002029F1" w:rsidRDefault="002029F1" w:rsidP="002029F1">
      <w:pPr>
        <w:jc w:val="left"/>
        <w:rPr>
          <w:rFonts w:ascii="Arial" w:hAnsi="Arial" w:cs="Arial"/>
          <w:bCs/>
          <w:i/>
          <w:kern w:val="16"/>
          <w:sz w:val="22"/>
          <w:szCs w:val="22"/>
        </w:rPr>
      </w:pPr>
    </w:p>
    <w:p w:rsidR="002029F1" w:rsidRPr="00BB36EB" w:rsidRDefault="002029F1" w:rsidP="002029F1">
      <w:pPr>
        <w:tabs>
          <w:tab w:val="left" w:pos="709"/>
        </w:tabs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B36EB">
        <w:rPr>
          <w:rFonts w:ascii="Arial" w:hAnsi="Arial" w:cs="Arial"/>
          <w:b/>
          <w:sz w:val="28"/>
          <w:szCs w:val="28"/>
        </w:rPr>
        <w:t>Kalkulace nabídkové ceny</w:t>
      </w:r>
    </w:p>
    <w:p w:rsidR="002029F1" w:rsidRDefault="002029F1" w:rsidP="002029F1">
      <w:pPr>
        <w:tabs>
          <w:tab w:val="right" w:pos="9638"/>
        </w:tabs>
        <w:spacing w:after="240"/>
        <w:rPr>
          <w:rFonts w:ascii="Arial" w:eastAsia="Calibri" w:hAnsi="Arial" w:cs="Arial"/>
          <w:b/>
          <w:sz w:val="22"/>
          <w:szCs w:val="22"/>
        </w:rPr>
      </w:pPr>
      <w:r w:rsidRPr="00982BAC">
        <w:rPr>
          <w:rFonts w:ascii="Arial" w:eastAsia="Calibri" w:hAnsi="Arial" w:cs="Arial"/>
          <w:b/>
          <w:sz w:val="22"/>
          <w:szCs w:val="22"/>
        </w:rPr>
        <w:t>Dodavatel nevyplňuje níže uvedenou t</w:t>
      </w:r>
      <w:r>
        <w:rPr>
          <w:rFonts w:ascii="Arial" w:eastAsia="Calibri" w:hAnsi="Arial" w:cs="Arial"/>
          <w:b/>
          <w:sz w:val="22"/>
          <w:szCs w:val="22"/>
        </w:rPr>
        <w:t xml:space="preserve">abulku, ale pouze všechna žlutě </w:t>
      </w:r>
      <w:r w:rsidRPr="00982BAC">
        <w:rPr>
          <w:rFonts w:ascii="Arial" w:eastAsia="Calibri" w:hAnsi="Arial" w:cs="Arial"/>
          <w:b/>
          <w:sz w:val="22"/>
          <w:szCs w:val="22"/>
        </w:rPr>
        <w:t xml:space="preserve">podbarvená pole tabulky ve formátu MS Excel, která je samostatnou přílohou.  Šedě označená pole jsou vypočítána automaticky. Celková nabídková cena bez DPH a celková nabídková cena včetně DPH slouží pouze pro účely hodnocení nabídky. Ve smlouvě o dílo s vybraným dodavatelem budou uvedeny ceny za jednotlivé části díla </w:t>
      </w:r>
      <w:r>
        <w:rPr>
          <w:rFonts w:ascii="Arial" w:eastAsia="Calibri" w:hAnsi="Arial" w:cs="Arial"/>
          <w:b/>
          <w:sz w:val="22"/>
          <w:szCs w:val="22"/>
        </w:rPr>
        <w:br/>
      </w:r>
      <w:r w:rsidRPr="00982BAC">
        <w:rPr>
          <w:rFonts w:ascii="Arial" w:eastAsia="Calibri" w:hAnsi="Arial" w:cs="Arial"/>
          <w:b/>
          <w:sz w:val="22"/>
          <w:szCs w:val="22"/>
        </w:rPr>
        <w:t>dle č</w:t>
      </w:r>
      <w:r>
        <w:rPr>
          <w:rFonts w:ascii="Arial" w:eastAsia="Calibri" w:hAnsi="Arial" w:cs="Arial"/>
          <w:b/>
          <w:sz w:val="22"/>
          <w:szCs w:val="22"/>
        </w:rPr>
        <w:t xml:space="preserve">l. II odst. 1 písm. a) až d) </w:t>
      </w:r>
      <w:r w:rsidRPr="00982BAC">
        <w:rPr>
          <w:rFonts w:ascii="Arial" w:eastAsia="Calibri" w:hAnsi="Arial" w:cs="Arial"/>
          <w:b/>
          <w:sz w:val="22"/>
          <w:szCs w:val="22"/>
        </w:rPr>
        <w:t xml:space="preserve">smlouvy. V případě části díla dle čl. II odst. 1 písm. e) smlouvy - výkon autorského dozoru bude ve smlouvě o dílo uvedena pouze cena za 1 hodinu výkonu autorského dozoru. </w:t>
      </w:r>
    </w:p>
    <w:p w:rsidR="002029F1" w:rsidRDefault="002029F1" w:rsidP="002029F1">
      <w:pPr>
        <w:rPr>
          <w:rFonts w:ascii="Arial" w:hAnsi="Arial" w:cs="Arial"/>
          <w:bCs/>
          <w:i/>
          <w:kern w:val="16"/>
          <w:sz w:val="22"/>
          <w:szCs w:val="22"/>
        </w:rPr>
      </w:pPr>
      <w:r w:rsidRPr="00982BAC">
        <w:rPr>
          <w:rFonts w:ascii="Arial" w:eastAsia="Calibri" w:hAnsi="Arial" w:cs="Arial"/>
          <w:b/>
          <w:sz w:val="22"/>
          <w:szCs w:val="22"/>
        </w:rPr>
        <w:t xml:space="preserve">*Předpokládaný počet jednotek v případě výkonu autorského dozoru (předpokládaný počet hodin výkonu autorského dozoru) je zadavatelem stanoven pouze pro účely hodnocení nabídky. Ve smlouvě o dílo s vybraným dodavatelem bude uvedena pouze cena za 1 hodinu výkonu autorského dozoru s tím, že bude účtováno za skutečný počet odpracovaných hodin po dobu výkonu autorského dozoru. </w:t>
      </w:r>
    </w:p>
    <w:tbl>
      <w:tblPr>
        <w:tblW w:w="14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1"/>
        <w:gridCol w:w="1139"/>
        <w:gridCol w:w="512"/>
        <w:gridCol w:w="764"/>
        <w:gridCol w:w="2410"/>
        <w:gridCol w:w="155"/>
        <w:gridCol w:w="476"/>
        <w:gridCol w:w="11"/>
        <w:gridCol w:w="476"/>
        <w:gridCol w:w="441"/>
        <w:gridCol w:w="662"/>
        <w:gridCol w:w="188"/>
        <w:gridCol w:w="2881"/>
        <w:gridCol w:w="50"/>
        <w:gridCol w:w="50"/>
        <w:gridCol w:w="50"/>
      </w:tblGrid>
      <w:tr w:rsidR="002029F1" w:rsidRPr="000C194D" w:rsidTr="00F15F66">
        <w:trPr>
          <w:trHeight w:val="300"/>
        </w:trPr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570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spacing w:before="120"/>
              <w:ind w:right="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Název </w:t>
            </w:r>
            <w:r w:rsidRPr="009D5C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veřejné zakázky:  </w:t>
            </w:r>
            <w:r w:rsidRPr="00100142">
              <w:rPr>
                <w:rFonts w:ascii="Arial" w:hAnsi="Arial" w:cs="Arial"/>
                <w:b/>
                <w:bCs/>
                <w:sz w:val="22"/>
                <w:szCs w:val="22"/>
              </w:rPr>
              <w:t>Projektová dokumentace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modernizace tiskového sálu (atrium)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5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194D">
              <w:rPr>
                <w:rFonts w:ascii="Arial" w:hAnsi="Arial" w:cs="Arial"/>
                <w:b/>
                <w:bCs/>
                <w:color w:val="000000"/>
              </w:rPr>
              <w:t xml:space="preserve">Identifikace dodavatele </w:t>
            </w:r>
            <w:r w:rsidRPr="000C194D">
              <w:rPr>
                <w:rFonts w:ascii="Arial" w:hAnsi="Arial" w:cs="Arial"/>
                <w:b/>
                <w:bCs/>
                <w:color w:val="000000"/>
              </w:rPr>
              <w:br/>
              <w:t>(název / jméno a příjmení)</w:t>
            </w:r>
          </w:p>
        </w:tc>
        <w:tc>
          <w:tcPr>
            <w:tcW w:w="10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31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1290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194D">
              <w:rPr>
                <w:rFonts w:ascii="Arial" w:hAnsi="Arial" w:cs="Arial"/>
                <w:color w:val="000000"/>
                <w:sz w:val="22"/>
                <w:szCs w:val="22"/>
              </w:rPr>
              <w:t>Předmět plnění veřejné zakázky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94D">
              <w:rPr>
                <w:rFonts w:ascii="Arial" w:hAnsi="Arial" w:cs="Arial"/>
                <w:b/>
                <w:bCs/>
              </w:rPr>
              <w:t>jednotka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94D">
              <w:rPr>
                <w:rFonts w:ascii="Arial" w:hAnsi="Arial" w:cs="Arial"/>
                <w:b/>
                <w:bCs/>
              </w:rPr>
              <w:t>Cena za 1 jednotku bez DPH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94D">
              <w:rPr>
                <w:rFonts w:ascii="Arial" w:hAnsi="Arial" w:cs="Arial"/>
                <w:b/>
                <w:bCs/>
              </w:rPr>
              <w:t>Předpokládaný počet jednotek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94D">
              <w:rPr>
                <w:rFonts w:ascii="Arial" w:hAnsi="Arial" w:cs="Arial"/>
                <w:b/>
                <w:bCs/>
              </w:rPr>
              <w:t>Cena v Kč bez DPH/cena za předpokládaný počet jednotek bez DPH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Sazba DPH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v Kč včetně</w:t>
            </w:r>
            <w:r w:rsidRPr="000C194D">
              <w:rPr>
                <w:rFonts w:ascii="Arial" w:hAnsi="Arial" w:cs="Arial"/>
                <w:b/>
                <w:bCs/>
              </w:rPr>
              <w:t xml:space="preserve"> DPH/cena za předpokláda</w:t>
            </w:r>
            <w:r>
              <w:rPr>
                <w:rFonts w:ascii="Arial" w:hAnsi="Arial" w:cs="Arial"/>
                <w:b/>
                <w:bCs/>
              </w:rPr>
              <w:t>ný počet jednotek včetně DPH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1200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19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Část díla dle čl. II odst. 2</w:t>
            </w:r>
            <w:r w:rsidRPr="000C194D">
              <w:rPr>
                <w:rFonts w:ascii="Arial" w:hAnsi="Arial" w:cs="Arial"/>
                <w:color w:val="000000"/>
                <w:sz w:val="22"/>
                <w:szCs w:val="22"/>
              </w:rPr>
              <w:t xml:space="preserve"> písm. a) smlouvy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194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vypracování a předání studie</w:t>
            </w:r>
            <w:r w:rsidRPr="000C194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1200"/>
        </w:trPr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4F6EB1" w:rsidRDefault="002029F1" w:rsidP="00F15F66">
            <w:pPr>
              <w:rPr>
                <w:b/>
                <w:bCs/>
                <w:color w:val="000000"/>
              </w:rPr>
            </w:pPr>
            <w:r w:rsidRPr="00882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Pr="004F6EB1">
              <w:rPr>
                <w:color w:val="000000"/>
              </w:rPr>
              <w:t xml:space="preserve"> </w:t>
            </w:r>
            <w:r w:rsidRPr="008828FC">
              <w:rPr>
                <w:rFonts w:ascii="Arial" w:hAnsi="Arial" w:cs="Arial"/>
                <w:sz w:val="22"/>
                <w:szCs w:val="22"/>
              </w:rPr>
              <w:t>Část díla dle čl. II odst. 2 písm. b) smlouvy vypracování projektové dokumentace pro zadání stavby modernizace tiskového sálu (atrium) - DZS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4F6EB1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4F6E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1200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0C19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Část díla dle čl. II odst. 2 písm. c</w:t>
            </w:r>
            <w:r w:rsidRPr="000C194D">
              <w:rPr>
                <w:rFonts w:ascii="Arial" w:hAnsi="Arial" w:cs="Arial"/>
                <w:color w:val="000000"/>
                <w:sz w:val="22"/>
                <w:szCs w:val="22"/>
              </w:rPr>
              <w:t xml:space="preserve">) smlouvy (spolupráce při výběru zhotovitele stavby)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1200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0C19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Část díla dle čl. II odst. 2 písm. d</w:t>
            </w:r>
            <w:r w:rsidRPr="000C194D">
              <w:rPr>
                <w:rFonts w:ascii="Arial" w:hAnsi="Arial" w:cs="Arial"/>
                <w:color w:val="000000"/>
                <w:sz w:val="22"/>
                <w:szCs w:val="22"/>
              </w:rPr>
              <w:t>) smlouvy (výkon inženýrské činnosti)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FFFFFF" w:themeColor="background1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FF0000"/>
              </w:rPr>
            </w:pPr>
            <w:r w:rsidRPr="000C194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1200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0C19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Část díla dle čl. II odst. 2</w:t>
            </w:r>
            <w:r w:rsidRPr="000C194D">
              <w:rPr>
                <w:rFonts w:ascii="Arial" w:hAnsi="Arial" w:cs="Arial"/>
                <w:color w:val="000000"/>
                <w:sz w:val="22"/>
                <w:szCs w:val="22"/>
              </w:rPr>
              <w:t xml:space="preserve"> písm. e) smlouvy (výkon autorského dozoru)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  <w:r w:rsidRPr="000C194D">
              <w:rPr>
                <w:rFonts w:ascii="Arial" w:hAnsi="Arial" w:cs="Arial"/>
                <w:b/>
                <w:bCs/>
                <w:color w:val="000000"/>
              </w:rPr>
              <w:t>1 hodina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9F1" w:rsidRPr="000C194D" w:rsidRDefault="002029F1" w:rsidP="00F15F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9F1" w:rsidRPr="00A60998" w:rsidRDefault="002029F1" w:rsidP="00F15F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0998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0C19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FF0000"/>
              </w:rPr>
            </w:pPr>
            <w:r w:rsidRPr="000C194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840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C194D">
              <w:rPr>
                <w:rFonts w:ascii="Arial" w:hAnsi="Arial" w:cs="Arial"/>
                <w:b/>
                <w:bCs/>
                <w:color w:val="000000"/>
              </w:rPr>
              <w:t>Celková nabídková cena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29F1" w:rsidRPr="000C194D" w:rsidRDefault="002029F1" w:rsidP="00F15F6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9F1" w:rsidRPr="000C194D" w:rsidTr="00F15F66">
        <w:trPr>
          <w:trHeight w:val="300"/>
        </w:trPr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9F1" w:rsidRPr="000C194D" w:rsidRDefault="002029F1" w:rsidP="00F15F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029F1" w:rsidRPr="000C194D" w:rsidRDefault="002029F1" w:rsidP="002029F1">
      <w:pPr>
        <w:jc w:val="left"/>
        <w:rPr>
          <w:rFonts w:ascii="Arial" w:hAnsi="Arial" w:cs="Arial"/>
          <w:bCs/>
          <w:i/>
          <w:kern w:val="16"/>
          <w:sz w:val="22"/>
          <w:szCs w:val="22"/>
        </w:rPr>
      </w:pPr>
    </w:p>
    <w:p w:rsidR="002029F1" w:rsidRDefault="002029F1" w:rsidP="002029F1"/>
    <w:p w:rsidR="002029F1" w:rsidRDefault="002029F1" w:rsidP="002029F1">
      <w:pPr>
        <w:tabs>
          <w:tab w:val="left" w:pos="8904"/>
        </w:tabs>
        <w:jc w:val="left"/>
        <w:rPr>
          <w:rFonts w:ascii="Arial" w:hAnsi="Arial" w:cs="Arial"/>
          <w:bCs/>
          <w:i/>
          <w:kern w:val="16"/>
          <w:sz w:val="22"/>
          <w:szCs w:val="22"/>
        </w:rPr>
      </w:pPr>
      <w:r>
        <w:rPr>
          <w:rFonts w:ascii="Arial" w:hAnsi="Arial" w:cs="Arial"/>
          <w:bCs/>
          <w:i/>
          <w:kern w:val="16"/>
          <w:sz w:val="22"/>
          <w:szCs w:val="22"/>
        </w:rPr>
        <w:tab/>
      </w:r>
    </w:p>
    <w:p w:rsidR="007372C1" w:rsidRDefault="002029F1" w:rsidP="002029F1">
      <w:r>
        <w:rPr>
          <w:rFonts w:ascii="Arial" w:hAnsi="Arial" w:cs="Arial"/>
          <w:sz w:val="22"/>
          <w:szCs w:val="22"/>
        </w:rPr>
        <w:tab/>
      </w:r>
    </w:p>
    <w:sectPr w:rsidR="007372C1" w:rsidSect="00202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F1" w:rsidRDefault="002029F1" w:rsidP="002029F1">
      <w:r>
        <w:separator/>
      </w:r>
    </w:p>
  </w:endnote>
  <w:endnote w:type="continuationSeparator" w:id="0">
    <w:p w:rsidR="002029F1" w:rsidRDefault="002029F1" w:rsidP="0020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F1" w:rsidRDefault="0020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F1" w:rsidRDefault="0020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F1" w:rsidRDefault="0020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F1" w:rsidRDefault="002029F1" w:rsidP="002029F1">
      <w:r>
        <w:separator/>
      </w:r>
    </w:p>
  </w:footnote>
  <w:footnote w:type="continuationSeparator" w:id="0">
    <w:p w:rsidR="002029F1" w:rsidRDefault="002029F1" w:rsidP="0020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F1" w:rsidRDefault="0020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F1" w:rsidRPr="00D41F9E" w:rsidRDefault="002029F1" w:rsidP="002029F1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E </w:t>
    </w:r>
    <w:r w:rsidRPr="00D41F9E">
      <w:rPr>
        <w:rFonts w:ascii="Arial" w:hAnsi="Arial" w:cs="Arial"/>
        <w:sz w:val="22"/>
        <w:szCs w:val="22"/>
      </w:rPr>
      <w:t>výzvy k podání nabídky</w:t>
    </w:r>
    <w:r>
      <w:rPr>
        <w:rFonts w:ascii="Arial" w:hAnsi="Arial" w:cs="Arial"/>
        <w:sz w:val="22"/>
        <w:szCs w:val="22"/>
      </w:rPr>
      <w:t xml:space="preserve"> – Kalkulace nabídkové ceny</w:t>
    </w:r>
  </w:p>
  <w:p w:rsidR="002029F1" w:rsidRDefault="002029F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F1" w:rsidRDefault="002029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E4"/>
    <w:rsid w:val="002029F1"/>
    <w:rsid w:val="007372C1"/>
    <w:rsid w:val="00AF4450"/>
    <w:rsid w:val="00E0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F913-5EFD-4AF4-A680-A36F3A6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9F1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2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9F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1712</Characters>
  <Application>Microsoft Office Word</Application>
  <DocSecurity>0</DocSecurity>
  <Lines>14</Lines>
  <Paragraphs>3</Paragraphs>
  <ScaleCrop>false</ScaleCrop>
  <Company>Úřad vlády ČR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2021-02-10T08:39:00Z</dcterms:created>
  <dcterms:modified xsi:type="dcterms:W3CDTF">2021-02-10T08:40:00Z</dcterms:modified>
</cp:coreProperties>
</file>