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A1" w:rsidRDefault="00583FA1" w:rsidP="00583FA1">
      <w:pPr>
        <w:keepNext/>
        <w:tabs>
          <w:tab w:val="left" w:pos="709"/>
          <w:tab w:val="left" w:pos="900"/>
        </w:tabs>
        <w:spacing w:before="36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1151F4">
        <w:rPr>
          <w:rFonts w:ascii="Arial" w:hAnsi="Arial" w:cs="Arial"/>
          <w:b/>
          <w:sz w:val="28"/>
          <w:szCs w:val="28"/>
        </w:rPr>
        <w:t xml:space="preserve">estné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p w:rsidR="00583FA1" w:rsidRPr="00764B27" w:rsidRDefault="00583FA1" w:rsidP="00583FA1">
      <w:pPr>
        <w:keepNext/>
        <w:tabs>
          <w:tab w:val="left" w:pos="709"/>
          <w:tab w:val="left" w:pos="900"/>
        </w:tabs>
        <w:spacing w:after="24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64B27">
        <w:rPr>
          <w:rFonts w:ascii="Arial" w:hAnsi="Arial" w:cs="Arial"/>
          <w:b/>
          <w:sz w:val="22"/>
          <w:szCs w:val="22"/>
        </w:rPr>
        <w:t>dle čl. 4.8 této zadávací dokumentace</w:t>
      </w:r>
    </w:p>
    <w:tbl>
      <w:tblPr>
        <w:tblpPr w:leftFromText="141" w:rightFromText="141" w:vertAnchor="text" w:horzAnchor="margin" w:tblpX="-39" w:tblpY="7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096"/>
      </w:tblGrid>
      <w:tr w:rsidR="00583FA1" w:rsidRPr="00E06520" w:rsidTr="00583FA1">
        <w:trPr>
          <w:trHeight w:val="51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83FA1" w:rsidRPr="004A48E6" w:rsidRDefault="00583FA1" w:rsidP="00583FA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83FA1" w:rsidRPr="000156E9" w:rsidRDefault="00583FA1" w:rsidP="00583F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Zajišťování komplexních činností na úseku požární ochrany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 bezpečnosti a ochrany při práci pro Úřad vlády ČR</w:t>
            </w:r>
          </w:p>
          <w:p w:rsidR="00583FA1" w:rsidRPr="00B0788C" w:rsidRDefault="00583FA1" w:rsidP="00583FA1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Část 2 - 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ťování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komplexních činností 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úseku BOZP pro Úřad vlády ČR</w:t>
            </w:r>
          </w:p>
        </w:tc>
      </w:tr>
      <w:tr w:rsidR="00583FA1" w:rsidRPr="009B6594" w:rsidTr="00583FA1">
        <w:trPr>
          <w:trHeight w:val="510"/>
        </w:trPr>
        <w:tc>
          <w:tcPr>
            <w:tcW w:w="3657" w:type="dxa"/>
          </w:tcPr>
          <w:p w:rsidR="00583FA1" w:rsidRPr="000926D6" w:rsidRDefault="00583FA1" w:rsidP="00583F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6D6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583FA1" w:rsidRPr="009B6594" w:rsidRDefault="00583FA1" w:rsidP="00583F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3FA1" w:rsidRPr="009B6594" w:rsidTr="00583FA1">
        <w:trPr>
          <w:trHeight w:val="510"/>
        </w:trPr>
        <w:tc>
          <w:tcPr>
            <w:tcW w:w="3657" w:type="dxa"/>
          </w:tcPr>
          <w:p w:rsidR="00583FA1" w:rsidRPr="000926D6" w:rsidRDefault="00583FA1" w:rsidP="00583F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6D6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583FA1" w:rsidRPr="009B6594" w:rsidRDefault="00583FA1" w:rsidP="00583F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3FA1" w:rsidRPr="009B6594" w:rsidTr="00583FA1">
        <w:trPr>
          <w:trHeight w:val="510"/>
        </w:trPr>
        <w:tc>
          <w:tcPr>
            <w:tcW w:w="3657" w:type="dxa"/>
          </w:tcPr>
          <w:p w:rsidR="00583FA1" w:rsidRPr="000926D6" w:rsidRDefault="00583FA1" w:rsidP="00583F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6D6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6096" w:type="dxa"/>
            <w:shd w:val="clear" w:color="auto" w:fill="FFFF00"/>
          </w:tcPr>
          <w:p w:rsidR="00583FA1" w:rsidRPr="009B6594" w:rsidRDefault="00583FA1" w:rsidP="00583F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83FA1" w:rsidRDefault="00583FA1" w:rsidP="00583FA1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1</w:t>
      </w:r>
      <w:r w:rsidRPr="009A4D00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členy realizačního týmu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583FA1" w:rsidRPr="003D3412" w:rsidRDefault="00583FA1" w:rsidP="00583FA1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 xml:space="preserve">Seznam </w:t>
      </w:r>
      <w:r>
        <w:rPr>
          <w:rFonts w:ascii="Arial" w:hAnsi="Arial" w:cs="Arial"/>
          <w:b/>
          <w:kern w:val="3"/>
          <w:sz w:val="22"/>
          <w:szCs w:val="22"/>
        </w:rPr>
        <w:t>členů realizačního týmu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692"/>
        <w:gridCol w:w="2156"/>
        <w:gridCol w:w="3516"/>
      </w:tblGrid>
      <w:tr w:rsidR="00583FA1" w:rsidRPr="00AE63B2" w:rsidTr="00583FA1">
        <w:trPr>
          <w:trHeight w:val="510"/>
        </w:trPr>
        <w:tc>
          <w:tcPr>
            <w:tcW w:w="2309" w:type="dxa"/>
            <w:shd w:val="clear" w:color="auto" w:fill="E5DFEC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Jméno, příjmení</w:t>
            </w:r>
          </w:p>
        </w:tc>
        <w:tc>
          <w:tcPr>
            <w:tcW w:w="1700" w:type="dxa"/>
            <w:shd w:val="clear" w:color="auto" w:fill="E5DFEC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>Pozice v rámci realizačního týmu</w:t>
            </w:r>
            <w:r w:rsidRPr="00415A40"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2185" w:type="dxa"/>
            <w:shd w:val="clear" w:color="auto" w:fill="E5DFEC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Relevantní praxe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(subjekt, u kterého byla realizována, obsah) </w:t>
            </w:r>
          </w:p>
        </w:tc>
        <w:tc>
          <w:tcPr>
            <w:tcW w:w="3587" w:type="dxa"/>
            <w:shd w:val="clear" w:color="auto" w:fill="E5DFEC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</w:t>
            </w: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 w:val="restart"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 w:val="restart"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 dle čl.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 </w:t>
            </w: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4.3.1 zadávací dokumentace</w:t>
            </w: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BF41A0" w:rsidRDefault="00583FA1" w:rsidP="00B87F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 pro hodnocení nabídek v rámci hodnotícího kritéria č. 2 dle čl.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 </w:t>
            </w:r>
            <w:r w:rsidRPr="00BF41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7.2.2 zadávací dokumentace</w:t>
            </w: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83FA1" w:rsidRPr="00AE63B2" w:rsidTr="00583FA1">
        <w:trPr>
          <w:trHeight w:val="64"/>
        </w:trPr>
        <w:tc>
          <w:tcPr>
            <w:tcW w:w="2309" w:type="dxa"/>
            <w:vMerge/>
            <w:shd w:val="clear" w:color="auto" w:fill="FFFF00"/>
          </w:tcPr>
          <w:p w:rsidR="00583FA1" w:rsidRPr="00AE63B2" w:rsidRDefault="00583FA1" w:rsidP="00B87FA2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:rsidR="00583FA1" w:rsidRPr="00AE63B2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00"/>
            <w:vAlign w:val="center"/>
          </w:tcPr>
          <w:p w:rsidR="00583FA1" w:rsidRPr="00415A40" w:rsidRDefault="00583FA1" w:rsidP="00B87FA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:rsidR="00583FA1" w:rsidRPr="009A4D00" w:rsidRDefault="00583FA1" w:rsidP="00583FA1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583FA1" w:rsidRPr="00DC189C" w:rsidRDefault="00583FA1" w:rsidP="00583FA1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DC189C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583FA1" w:rsidRPr="00DC189C" w:rsidRDefault="00583FA1" w:rsidP="00583FA1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DC189C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 w:rsidRPr="00DC189C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hyperlink r:id="rId6" w:tooltip="Fyzická osoba" w:history="1">
        <w:r w:rsidRPr="00DC189C">
          <w:rPr>
            <w:rStyle w:val="Hypertextovodkaz"/>
            <w:rFonts w:ascii="Arial" w:hAnsi="Arial" w:cs="Arial"/>
            <w:sz w:val="22"/>
            <w:szCs w:val="22"/>
          </w:rPr>
          <w:t>fyzických osob</w:t>
        </w:r>
      </w:hyperlink>
      <w:r w:rsidRPr="00DC189C">
        <w:rPr>
          <w:rFonts w:ascii="Arial" w:hAnsi="Arial" w:cs="Arial"/>
          <w:iCs/>
          <w:sz w:val="22"/>
          <w:szCs w:val="22"/>
        </w:rPr>
        <w:t xml:space="preserve"> v souvislosti se zpracováním </w:t>
      </w:r>
      <w:hyperlink r:id="rId7" w:tooltip="Osobní údaj" w:history="1">
        <w:r w:rsidRPr="00DC189C">
          <w:rPr>
            <w:rStyle w:val="Hypertextovodkaz"/>
            <w:rFonts w:ascii="Arial" w:hAnsi="Arial" w:cs="Arial"/>
            <w:sz w:val="22"/>
            <w:szCs w:val="22"/>
          </w:rPr>
          <w:t>osobních údajů</w:t>
        </w:r>
      </w:hyperlink>
      <w:r w:rsidRPr="00DC189C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DC189C">
        <w:rPr>
          <w:rFonts w:ascii="Arial" w:hAnsi="Arial" w:cs="Arial"/>
          <w:sz w:val="22"/>
          <w:szCs w:val="22"/>
        </w:rPr>
        <w:t xml:space="preserve">, a to v rozsahu, v jakém byly dodavatelem poskytnuty </w:t>
      </w:r>
      <w:r w:rsidRPr="00DC189C">
        <w:rPr>
          <w:rFonts w:ascii="Arial" w:hAnsi="Arial" w:cs="Arial"/>
          <w:sz w:val="22"/>
          <w:szCs w:val="22"/>
        </w:rPr>
        <w:lastRenderedPageBreak/>
        <w:t>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</w:t>
      </w:r>
      <w:bookmarkStart w:id="0" w:name="_GoBack"/>
      <w:bookmarkEnd w:id="0"/>
      <w:r w:rsidRPr="00DC189C">
        <w:rPr>
          <w:rFonts w:ascii="Arial" w:hAnsi="Arial" w:cs="Arial"/>
          <w:sz w:val="22"/>
          <w:szCs w:val="22"/>
        </w:rPr>
        <w:t>trany dodavatele. Tento souhlas lze kdykoliv odvolat, ale odvolání souhlasu nemá vliv na plnění zákonných povinností zadavatele, především na plnění archivační a uveřejňovací povinnosti a to po celou dobu archivační lhůty.</w:t>
      </w:r>
    </w:p>
    <w:p w:rsidR="00583FA1" w:rsidRPr="00DC189C" w:rsidRDefault="00583FA1" w:rsidP="00583FA1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DC189C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583FA1" w:rsidRPr="00DC189C" w:rsidRDefault="00583FA1" w:rsidP="00583FA1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DC189C">
        <w:rPr>
          <w:rFonts w:ascii="Arial" w:hAnsi="Arial" w:cs="Arial"/>
          <w:sz w:val="22"/>
          <w:szCs w:val="22"/>
        </w:rPr>
        <w:t>Poddodavatel souhlasí s ověřením příslušných referencí ze strany zadavatele a potvrzuje, že je oprávněn uvedené informace zadavateli poskytnout.</w:t>
      </w:r>
    </w:p>
    <w:p w:rsidR="00583FA1" w:rsidRPr="00415A40" w:rsidRDefault="00583FA1" w:rsidP="00583FA1">
      <w:pPr>
        <w:rPr>
          <w:rFonts w:ascii="Arial" w:hAnsi="Arial" w:cs="Arial"/>
          <w:sz w:val="22"/>
          <w:szCs w:val="22"/>
        </w:rPr>
      </w:pPr>
    </w:p>
    <w:p w:rsidR="00583FA1" w:rsidRPr="00415A40" w:rsidRDefault="00583FA1" w:rsidP="00583FA1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  <w:sz w:val="22"/>
          <w:szCs w:val="22"/>
        </w:rPr>
        <w:t xml:space="preserve">dne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583FA1" w:rsidRPr="00DF00B9" w:rsidRDefault="00583FA1" w:rsidP="00583FA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06"/>
      </w:tblGrid>
      <w:tr w:rsidR="00583FA1" w:rsidRPr="00DF00B9" w:rsidTr="00583FA1">
        <w:trPr>
          <w:trHeight w:val="510"/>
        </w:trPr>
        <w:tc>
          <w:tcPr>
            <w:tcW w:w="9520" w:type="dxa"/>
            <w:gridSpan w:val="2"/>
          </w:tcPr>
          <w:p w:rsidR="00583FA1" w:rsidRPr="00DF00B9" w:rsidRDefault="00583FA1" w:rsidP="00B87FA2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583FA1" w:rsidRPr="00DF00B9" w:rsidTr="00583FA1">
        <w:trPr>
          <w:trHeight w:val="510"/>
        </w:trPr>
        <w:tc>
          <w:tcPr>
            <w:tcW w:w="2614" w:type="dxa"/>
          </w:tcPr>
          <w:p w:rsidR="00583FA1" w:rsidRPr="000926D6" w:rsidRDefault="00583FA1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6D6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6906" w:type="dxa"/>
            <w:shd w:val="clear" w:color="auto" w:fill="FFFF00"/>
          </w:tcPr>
          <w:p w:rsidR="00583FA1" w:rsidRPr="00DF00B9" w:rsidRDefault="00583FA1" w:rsidP="00B87F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3FA1" w:rsidRPr="00DF00B9" w:rsidTr="00583FA1">
        <w:trPr>
          <w:trHeight w:val="510"/>
        </w:trPr>
        <w:tc>
          <w:tcPr>
            <w:tcW w:w="2614" w:type="dxa"/>
          </w:tcPr>
          <w:p w:rsidR="00583FA1" w:rsidRPr="000926D6" w:rsidRDefault="00583FA1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6D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906" w:type="dxa"/>
            <w:shd w:val="clear" w:color="auto" w:fill="FFFF00"/>
          </w:tcPr>
          <w:p w:rsidR="00583FA1" w:rsidRPr="00DF00B9" w:rsidRDefault="00583FA1" w:rsidP="00B87FA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83FA1" w:rsidRDefault="00583FA1" w:rsidP="00583FA1">
      <w:pPr>
        <w:jc w:val="left"/>
        <w:rPr>
          <w:rFonts w:ascii="Arial" w:hAnsi="Arial" w:cs="Arial"/>
          <w:b/>
          <w:sz w:val="28"/>
          <w:szCs w:val="28"/>
        </w:rPr>
      </w:pPr>
    </w:p>
    <w:p w:rsidR="00611F05" w:rsidRDefault="00583FA1"/>
    <w:sectPr w:rsidR="00611F05" w:rsidSect="00583FA1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A1" w:rsidRDefault="00583FA1" w:rsidP="00583FA1">
      <w:r>
        <w:separator/>
      </w:r>
    </w:p>
  </w:endnote>
  <w:endnote w:type="continuationSeparator" w:id="0">
    <w:p w:rsidR="00583FA1" w:rsidRDefault="00583FA1" w:rsidP="005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A1" w:rsidRPr="00403AB9" w:rsidRDefault="00583FA1" w:rsidP="00583FA1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583FA1" w:rsidRDefault="00583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A1" w:rsidRDefault="00583FA1" w:rsidP="00583FA1">
      <w:r>
        <w:separator/>
      </w:r>
    </w:p>
  </w:footnote>
  <w:footnote w:type="continuationSeparator" w:id="0">
    <w:p w:rsidR="00583FA1" w:rsidRDefault="00583FA1" w:rsidP="0058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A1" w:rsidRPr="008B3FFC" w:rsidRDefault="00583FA1" w:rsidP="00583FA1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D2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Vzor čestného prohlášení poddodavatele</w:t>
    </w:r>
  </w:p>
  <w:p w:rsidR="00583FA1" w:rsidRDefault="00583F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1"/>
    <w:rsid w:val="00116523"/>
    <w:rsid w:val="00311F07"/>
    <w:rsid w:val="00410C7F"/>
    <w:rsid w:val="005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7400-F8F7-485D-B3E6-5F13C6AF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A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83FA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83FA1"/>
    <w:rPr>
      <w:color w:val="0000FF"/>
      <w:u w:val="single"/>
    </w:rPr>
  </w:style>
  <w:style w:type="paragraph" w:customStyle="1" w:styleId="Standard">
    <w:name w:val="Standard"/>
    <w:uiPriority w:val="99"/>
    <w:rsid w:val="00583FA1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583FA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83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FA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FA1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Osobn%C3%AD_%C3%BAd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yzick%C3%A1_oso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1</cp:revision>
  <dcterms:created xsi:type="dcterms:W3CDTF">2020-06-10T11:43:00Z</dcterms:created>
  <dcterms:modified xsi:type="dcterms:W3CDTF">2020-06-10T11:45:00Z</dcterms:modified>
</cp:coreProperties>
</file>